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2A0D" w14:textId="77777777" w:rsidR="00835478" w:rsidRDefault="00402AAF">
      <w:pPr>
        <w:rPr>
          <w:b/>
          <w:bCs/>
          <w:sz w:val="24"/>
          <w:szCs w:val="24"/>
        </w:rPr>
      </w:pPr>
      <w:bookmarkStart w:id="0" w:name="_GoBack"/>
      <w:bookmarkEnd w:id="0"/>
      <w:r w:rsidRPr="00EE0D31">
        <w:rPr>
          <w:b/>
          <w:bCs/>
          <w:sz w:val="24"/>
          <w:szCs w:val="24"/>
        </w:rPr>
        <w:t>SHRM</w:t>
      </w:r>
      <w:r w:rsidR="00835478">
        <w:rPr>
          <w:b/>
          <w:bCs/>
          <w:sz w:val="24"/>
          <w:szCs w:val="24"/>
        </w:rPr>
        <w:t xml:space="preserve"> </w:t>
      </w:r>
      <w:r w:rsidRPr="00EE0D31">
        <w:rPr>
          <w:b/>
          <w:bCs/>
          <w:sz w:val="24"/>
          <w:szCs w:val="24"/>
        </w:rPr>
        <w:t>REPORT</w:t>
      </w:r>
    </w:p>
    <w:p w14:paraId="146BDF83" w14:textId="77777777" w:rsidR="00835478" w:rsidRDefault="00835478">
      <w:pPr>
        <w:rPr>
          <w:b/>
          <w:bCs/>
          <w:sz w:val="24"/>
          <w:szCs w:val="24"/>
        </w:rPr>
      </w:pPr>
      <w:r>
        <w:rPr>
          <w:b/>
          <w:bCs/>
          <w:sz w:val="24"/>
          <w:szCs w:val="24"/>
        </w:rPr>
        <w:t>Governmental Affairs</w:t>
      </w:r>
    </w:p>
    <w:p w14:paraId="6A70B815" w14:textId="096A52E6" w:rsidR="0004683B" w:rsidRPr="00EE0D31" w:rsidRDefault="00E7130F">
      <w:pPr>
        <w:rPr>
          <w:b/>
          <w:bCs/>
          <w:sz w:val="24"/>
          <w:szCs w:val="24"/>
        </w:rPr>
      </w:pPr>
      <w:r w:rsidRPr="00EE0D31">
        <w:rPr>
          <w:b/>
          <w:bCs/>
          <w:sz w:val="24"/>
          <w:szCs w:val="24"/>
        </w:rPr>
        <w:t>July 2022</w:t>
      </w:r>
      <w:r w:rsidR="00402AAF" w:rsidRPr="00EE0D31">
        <w:rPr>
          <w:b/>
          <w:bCs/>
          <w:sz w:val="24"/>
          <w:szCs w:val="24"/>
        </w:rPr>
        <w:t xml:space="preserve"> </w:t>
      </w:r>
    </w:p>
    <w:p w14:paraId="6EC2D4BA" w14:textId="03C9114E" w:rsidR="00753E0C" w:rsidRPr="00EE0D31" w:rsidRDefault="00753E0C" w:rsidP="00753E0C">
      <w:pPr>
        <w:pStyle w:val="ListParagraph"/>
        <w:numPr>
          <w:ilvl w:val="0"/>
          <w:numId w:val="1"/>
        </w:numPr>
        <w:shd w:val="clear" w:color="auto" w:fill="FFFFFF"/>
        <w:spacing w:before="300" w:after="150" w:line="240" w:lineRule="auto"/>
        <w:outlineLvl w:val="0"/>
        <w:rPr>
          <w:rFonts w:eastAsia="Times New Roman" w:cstheme="minorHAnsi"/>
          <w:color w:val="494949"/>
          <w:kern w:val="36"/>
          <w:sz w:val="24"/>
          <w:szCs w:val="24"/>
        </w:rPr>
      </w:pPr>
      <w:r w:rsidRPr="00EE0D31">
        <w:rPr>
          <w:sz w:val="24"/>
          <w:szCs w:val="24"/>
        </w:rPr>
        <w:t xml:space="preserve">Summary of Recent Changes → VDH COVID19 </w:t>
      </w:r>
    </w:p>
    <w:p w14:paraId="2C44C04E" w14:textId="77777777" w:rsidR="00753E0C" w:rsidRPr="00EE0D31" w:rsidRDefault="00753E0C" w:rsidP="00753E0C">
      <w:pPr>
        <w:pStyle w:val="ListParagraph"/>
        <w:shd w:val="clear" w:color="auto" w:fill="FFFFFF"/>
        <w:spacing w:before="300" w:after="150" w:line="240" w:lineRule="auto"/>
        <w:outlineLvl w:val="0"/>
        <w:rPr>
          <w:rFonts w:eastAsia="Times New Roman" w:cstheme="minorHAnsi"/>
          <w:color w:val="494949"/>
          <w:kern w:val="36"/>
          <w:sz w:val="24"/>
          <w:szCs w:val="24"/>
        </w:rPr>
      </w:pPr>
      <w:r w:rsidRPr="00EE0D31">
        <w:rPr>
          <w:sz w:val="24"/>
          <w:szCs w:val="24"/>
        </w:rPr>
        <w:t xml:space="preserve">6/15/2022: </w:t>
      </w:r>
    </w:p>
    <w:p w14:paraId="115F5215" w14:textId="65004B1D" w:rsidR="00753E0C" w:rsidRPr="00835478" w:rsidRDefault="00AC38DF" w:rsidP="00753E0C">
      <w:pPr>
        <w:pStyle w:val="ListParagraph"/>
        <w:shd w:val="clear" w:color="auto" w:fill="FFFFFF"/>
        <w:spacing w:before="300" w:after="150" w:line="240" w:lineRule="auto"/>
        <w:outlineLvl w:val="0"/>
        <w:rPr>
          <w:sz w:val="24"/>
          <w:szCs w:val="24"/>
        </w:rPr>
      </w:pPr>
      <w:hyperlink r:id="rId5" w:history="1">
        <w:r w:rsidR="00753E0C" w:rsidRPr="00EE0D31">
          <w:rPr>
            <w:rStyle w:val="Hyperlink"/>
            <w:sz w:val="24"/>
            <w:szCs w:val="24"/>
          </w:rPr>
          <w:t>WHEN IS IT SAFE TO BE AROUND OTHERS (virginia.gov)</w:t>
        </w:r>
      </w:hyperlink>
      <w:r w:rsidR="00753E0C" w:rsidRPr="00EE0D31">
        <w:rPr>
          <w:sz w:val="24"/>
          <w:szCs w:val="24"/>
        </w:rPr>
        <w:t xml:space="preserve"> The time frame for when quarantine and testing are not required if you have recently had COVID-19 was </w:t>
      </w:r>
      <w:r w:rsidR="00753E0C" w:rsidRPr="00835478">
        <w:rPr>
          <w:sz w:val="24"/>
          <w:szCs w:val="24"/>
        </w:rPr>
        <w:t xml:space="preserve">extended from 90 days to 6 months. Removed recommendation for masking and testing for close contacts who are not required to quarantine. Updated age range for schools forgoing quarantine from 12-17 to 5-11 years. On page 3, updated wording for up-to-date close contacts from “should get tested at least 5 days after” to “can consider getting tested ...” </w:t>
      </w:r>
    </w:p>
    <w:p w14:paraId="7AE01AAF" w14:textId="77777777" w:rsidR="00753E0C" w:rsidRPr="00835478" w:rsidRDefault="00753E0C" w:rsidP="00753E0C">
      <w:pPr>
        <w:pStyle w:val="ListParagraph"/>
        <w:shd w:val="clear" w:color="auto" w:fill="FFFFFF"/>
        <w:spacing w:before="300" w:after="150" w:line="240" w:lineRule="auto"/>
        <w:outlineLvl w:val="0"/>
        <w:rPr>
          <w:sz w:val="24"/>
          <w:szCs w:val="24"/>
        </w:rPr>
      </w:pPr>
    </w:p>
    <w:p w14:paraId="1091BEA4" w14:textId="69267AE4" w:rsidR="00ED7E7D" w:rsidRPr="00835478" w:rsidRDefault="00ED7E7D" w:rsidP="00ED7E7D">
      <w:pPr>
        <w:pStyle w:val="ListParagraph"/>
        <w:numPr>
          <w:ilvl w:val="0"/>
          <w:numId w:val="1"/>
        </w:numPr>
        <w:shd w:val="clear" w:color="auto" w:fill="FFFFFF"/>
        <w:spacing w:before="300" w:after="150" w:line="240" w:lineRule="auto"/>
        <w:outlineLvl w:val="0"/>
        <w:rPr>
          <w:sz w:val="24"/>
          <w:szCs w:val="24"/>
        </w:rPr>
      </w:pPr>
      <w:r w:rsidRPr="00835478">
        <w:rPr>
          <w:sz w:val="24"/>
          <w:szCs w:val="24"/>
        </w:rPr>
        <w:t>The US Supreme Court has officially overturned </w:t>
      </w:r>
      <w:r w:rsidRPr="00835478">
        <w:rPr>
          <w:i/>
          <w:iCs/>
          <w:sz w:val="24"/>
          <w:szCs w:val="24"/>
        </w:rPr>
        <w:t>Roe v Wade</w:t>
      </w:r>
      <w:r w:rsidRPr="00835478">
        <w:rPr>
          <w:sz w:val="24"/>
          <w:szCs w:val="24"/>
        </w:rPr>
        <w:t>, issuing a ruling in the </w:t>
      </w:r>
      <w:hyperlink r:id="rId6" w:tgtFrame="_blank" w:history="1">
        <w:r w:rsidRPr="00835478">
          <w:rPr>
            <w:sz w:val="24"/>
            <w:szCs w:val="24"/>
          </w:rPr>
          <w:t>Mississippi</w:t>
        </w:r>
      </w:hyperlink>
      <w:r w:rsidRPr="00835478">
        <w:rPr>
          <w:sz w:val="24"/>
          <w:szCs w:val="24"/>
        </w:rPr>
        <w:t> case challenging a state law </w:t>
      </w:r>
      <w:hyperlink r:id="rId7" w:tgtFrame="_blank" w:history="1">
        <w:r w:rsidRPr="00835478">
          <w:rPr>
            <w:sz w:val="24"/>
            <w:szCs w:val="24"/>
          </w:rPr>
          <w:t>banning most abortions after 15 weeks of pregnancy</w:t>
        </w:r>
      </w:hyperlink>
      <w:r w:rsidRPr="00835478">
        <w:rPr>
          <w:sz w:val="24"/>
          <w:szCs w:val="24"/>
        </w:rPr>
        <w:t> on 24 June. The landmark precedent established in the 1973 ruling in </w:t>
      </w:r>
      <w:r w:rsidRPr="00835478">
        <w:rPr>
          <w:i/>
          <w:iCs/>
          <w:sz w:val="24"/>
          <w:szCs w:val="24"/>
        </w:rPr>
        <w:t>Roe</w:t>
      </w:r>
      <w:r w:rsidRPr="00835478">
        <w:rPr>
          <w:sz w:val="24"/>
          <w:szCs w:val="24"/>
        </w:rPr>
        <w:t xml:space="preserve">, which enshrined constitutional protections for the procedure, is now </w:t>
      </w:r>
      <w:r w:rsidR="00025253" w:rsidRPr="00835478">
        <w:rPr>
          <w:sz w:val="24"/>
          <w:szCs w:val="24"/>
        </w:rPr>
        <w:t>removed</w:t>
      </w:r>
      <w:r w:rsidRPr="00835478">
        <w:rPr>
          <w:sz w:val="24"/>
          <w:szCs w:val="24"/>
        </w:rPr>
        <w:t>.</w:t>
      </w:r>
    </w:p>
    <w:p w14:paraId="424B652E" w14:textId="044565F5" w:rsidR="00ED7E7D" w:rsidRPr="00835478" w:rsidRDefault="00ED7E7D" w:rsidP="00ED7E7D">
      <w:pPr>
        <w:pStyle w:val="ListParagraph"/>
        <w:numPr>
          <w:ilvl w:val="0"/>
          <w:numId w:val="2"/>
        </w:numPr>
        <w:shd w:val="clear" w:color="auto" w:fill="FFFFFF"/>
        <w:spacing w:before="300" w:after="150" w:line="240" w:lineRule="auto"/>
        <w:outlineLvl w:val="0"/>
        <w:rPr>
          <w:sz w:val="24"/>
          <w:szCs w:val="24"/>
        </w:rPr>
      </w:pPr>
      <w:r w:rsidRPr="00835478">
        <w:rPr>
          <w:i/>
          <w:iCs/>
          <w:sz w:val="24"/>
          <w:szCs w:val="24"/>
        </w:rPr>
        <w:t>Dobbs v Jackson Women’s Health Organization</w:t>
      </w:r>
      <w:r w:rsidRPr="00835478">
        <w:rPr>
          <w:sz w:val="24"/>
          <w:szCs w:val="24"/>
        </w:rPr>
        <w:t xml:space="preserve"> marked the first major abortion rights challenge </w:t>
      </w:r>
    </w:p>
    <w:p w14:paraId="75651568" w14:textId="134AA180" w:rsidR="00025253" w:rsidRPr="00835478" w:rsidRDefault="00025253" w:rsidP="00025253">
      <w:pPr>
        <w:pStyle w:val="ListParagraph"/>
        <w:numPr>
          <w:ilvl w:val="0"/>
          <w:numId w:val="2"/>
        </w:numPr>
        <w:shd w:val="clear" w:color="auto" w:fill="FFFFFF"/>
        <w:spacing w:before="300" w:after="150" w:line="240" w:lineRule="auto"/>
        <w:outlineLvl w:val="0"/>
        <w:rPr>
          <w:sz w:val="24"/>
          <w:szCs w:val="24"/>
        </w:rPr>
      </w:pPr>
      <w:r w:rsidRPr="00835478">
        <w:rPr>
          <w:i/>
          <w:iCs/>
          <w:sz w:val="24"/>
          <w:szCs w:val="24"/>
        </w:rPr>
        <w:t>Employers</w:t>
      </w:r>
      <w:r w:rsidRPr="00835478">
        <w:rPr>
          <w:sz w:val="24"/>
          <w:szCs w:val="24"/>
        </w:rPr>
        <w:t xml:space="preserve"> </w:t>
      </w:r>
      <w:r w:rsidR="00FF4D33" w:rsidRPr="00835478">
        <w:rPr>
          <w:sz w:val="24"/>
          <w:szCs w:val="24"/>
        </w:rPr>
        <w:t>may look at</w:t>
      </w:r>
      <w:r w:rsidRPr="00835478">
        <w:rPr>
          <w:sz w:val="24"/>
          <w:szCs w:val="24"/>
        </w:rPr>
        <w:t xml:space="preserve"> amending their health benefit plans to facilitate access to abortion will need to consider the tax treatment of abortion-related travel benefits, following the U.S. Supreme Court's </w:t>
      </w:r>
      <w:hyperlink r:id="rId8" w:tgtFrame="_blank" w:history="1">
        <w:r w:rsidRPr="00835478">
          <w:rPr>
            <w:sz w:val="24"/>
            <w:szCs w:val="24"/>
          </w:rPr>
          <w:t>ruling on state abortion restrictions</w:t>
        </w:r>
      </w:hyperlink>
      <w:r w:rsidRPr="00835478">
        <w:rPr>
          <w:sz w:val="24"/>
          <w:szCs w:val="24"/>
        </w:rPr>
        <w:t>.</w:t>
      </w:r>
    </w:p>
    <w:p w14:paraId="312268A5" w14:textId="77777777" w:rsidR="00FF4D33" w:rsidRPr="00835478" w:rsidRDefault="00FF4D33" w:rsidP="00FF4D33">
      <w:pPr>
        <w:pStyle w:val="ListParagraph"/>
        <w:shd w:val="clear" w:color="auto" w:fill="FFFFFF"/>
        <w:spacing w:before="300" w:after="150" w:line="240" w:lineRule="auto"/>
        <w:ind w:left="1440"/>
        <w:outlineLvl w:val="0"/>
        <w:rPr>
          <w:sz w:val="24"/>
          <w:szCs w:val="24"/>
        </w:rPr>
      </w:pPr>
    </w:p>
    <w:p w14:paraId="141A2C2D" w14:textId="77777777" w:rsidR="007A6551" w:rsidRPr="00835478" w:rsidRDefault="007A6551" w:rsidP="007A6551">
      <w:pPr>
        <w:pStyle w:val="ListParagraph"/>
        <w:numPr>
          <w:ilvl w:val="0"/>
          <w:numId w:val="1"/>
        </w:numPr>
        <w:shd w:val="clear" w:color="auto" w:fill="FFFFFF"/>
        <w:spacing w:before="300" w:after="150" w:line="240" w:lineRule="auto"/>
        <w:outlineLvl w:val="0"/>
        <w:rPr>
          <w:sz w:val="24"/>
          <w:szCs w:val="24"/>
        </w:rPr>
      </w:pPr>
      <w:r w:rsidRPr="00835478">
        <w:rPr>
          <w:sz w:val="24"/>
          <w:szCs w:val="24"/>
        </w:rPr>
        <w:t>Proposed Overtime Rule Now Projected to Come Out in Fall</w:t>
      </w:r>
    </w:p>
    <w:p w14:paraId="18A507D8" w14:textId="264A2B0F" w:rsidR="007A6551" w:rsidRPr="00835478" w:rsidRDefault="007A6551" w:rsidP="007A6551">
      <w:pPr>
        <w:pStyle w:val="ListParagraph"/>
        <w:numPr>
          <w:ilvl w:val="0"/>
          <w:numId w:val="2"/>
        </w:numPr>
        <w:shd w:val="clear" w:color="auto" w:fill="FFFFFF"/>
        <w:spacing w:before="300" w:after="150" w:line="240" w:lineRule="auto"/>
        <w:outlineLvl w:val="0"/>
        <w:rPr>
          <w:sz w:val="24"/>
          <w:szCs w:val="24"/>
        </w:rPr>
      </w:pPr>
      <w:r w:rsidRPr="00835478">
        <w:rPr>
          <w:sz w:val="24"/>
          <w:szCs w:val="24"/>
        </w:rPr>
        <w:t>High on the DOL's list of priorities with the proposed overtime rule will be adjusting the salary level, possibly increasing it from its current annualized rate of $35,568</w:t>
      </w:r>
      <w:r w:rsidR="00025253" w:rsidRPr="00835478">
        <w:rPr>
          <w:sz w:val="24"/>
          <w:szCs w:val="24"/>
        </w:rPr>
        <w:t>.</w:t>
      </w:r>
    </w:p>
    <w:p w14:paraId="0662ADF4" w14:textId="77777777" w:rsidR="00FF4D33" w:rsidRPr="00835478" w:rsidRDefault="00FF4D33" w:rsidP="00FF4D33">
      <w:pPr>
        <w:pStyle w:val="ListParagraph"/>
        <w:shd w:val="clear" w:color="auto" w:fill="FFFFFF"/>
        <w:spacing w:before="300" w:after="150" w:line="240" w:lineRule="auto"/>
        <w:ind w:left="1440"/>
        <w:outlineLvl w:val="0"/>
        <w:rPr>
          <w:sz w:val="24"/>
          <w:szCs w:val="24"/>
        </w:rPr>
      </w:pPr>
    </w:p>
    <w:p w14:paraId="4374B652" w14:textId="77777777" w:rsidR="00FF4D33" w:rsidRPr="00835478" w:rsidRDefault="00FF4D33" w:rsidP="00FF4D33">
      <w:pPr>
        <w:pStyle w:val="ListParagraph"/>
        <w:numPr>
          <w:ilvl w:val="0"/>
          <w:numId w:val="1"/>
        </w:numPr>
        <w:shd w:val="clear" w:color="auto" w:fill="FFFFFF"/>
        <w:spacing w:before="300" w:after="150" w:line="240" w:lineRule="auto"/>
        <w:outlineLvl w:val="0"/>
        <w:rPr>
          <w:sz w:val="24"/>
          <w:szCs w:val="24"/>
        </w:rPr>
      </w:pPr>
      <w:r w:rsidRPr="00835478">
        <w:rPr>
          <w:sz w:val="24"/>
          <w:szCs w:val="24"/>
        </w:rPr>
        <w:t>Standard Mileage Rates Increase for Remainder of 2022</w:t>
      </w:r>
    </w:p>
    <w:p w14:paraId="22BD565E" w14:textId="77777777" w:rsidR="00D53B62" w:rsidRPr="00835478" w:rsidRDefault="00FF4D33" w:rsidP="00D53B62">
      <w:pPr>
        <w:pStyle w:val="ListParagraph"/>
        <w:numPr>
          <w:ilvl w:val="0"/>
          <w:numId w:val="2"/>
        </w:numPr>
        <w:shd w:val="clear" w:color="auto" w:fill="FFFFFF"/>
        <w:spacing w:before="300" w:after="150" w:line="240" w:lineRule="auto"/>
        <w:outlineLvl w:val="0"/>
        <w:rPr>
          <w:sz w:val="24"/>
          <w:szCs w:val="24"/>
        </w:rPr>
      </w:pPr>
      <w:r w:rsidRPr="00835478">
        <w:rPr>
          <w:sz w:val="24"/>
          <w:szCs w:val="24"/>
        </w:rPr>
        <w:t>The optional standard mileage rate, which taxpayers may use to calculate the deductible costs of operating an automobile for business and certain other purposes, increases to 62.5 cents per mile, effective July 1, 2022.</w:t>
      </w:r>
    </w:p>
    <w:p w14:paraId="28AE01D9" w14:textId="77777777" w:rsidR="00D53B62" w:rsidRPr="00835478" w:rsidRDefault="00FF4D33" w:rsidP="00D53B62">
      <w:pPr>
        <w:pStyle w:val="ListParagraph"/>
        <w:numPr>
          <w:ilvl w:val="0"/>
          <w:numId w:val="2"/>
        </w:numPr>
        <w:shd w:val="clear" w:color="auto" w:fill="FFFFFF"/>
        <w:spacing w:before="300" w:after="150" w:line="240" w:lineRule="auto"/>
        <w:outlineLvl w:val="0"/>
        <w:rPr>
          <w:sz w:val="24"/>
          <w:szCs w:val="24"/>
        </w:rPr>
      </w:pPr>
      <w:r w:rsidRPr="00835478">
        <w:rPr>
          <w:sz w:val="24"/>
          <w:szCs w:val="24"/>
        </w:rPr>
        <w:t xml:space="preserve"> The new mileage rate is up 4 cents from the rate effective at the start of the year. </w:t>
      </w:r>
    </w:p>
    <w:p w14:paraId="15AA988A" w14:textId="54A713C3" w:rsidR="00FF4D33" w:rsidRPr="00835478" w:rsidRDefault="00FF4D33" w:rsidP="00D53B62">
      <w:pPr>
        <w:pStyle w:val="ListParagraph"/>
        <w:numPr>
          <w:ilvl w:val="0"/>
          <w:numId w:val="2"/>
        </w:numPr>
        <w:shd w:val="clear" w:color="auto" w:fill="FFFFFF"/>
        <w:spacing w:before="300" w:after="150" w:line="240" w:lineRule="auto"/>
        <w:outlineLvl w:val="0"/>
        <w:rPr>
          <w:sz w:val="24"/>
          <w:szCs w:val="24"/>
        </w:rPr>
      </w:pPr>
      <w:r w:rsidRPr="00835478">
        <w:rPr>
          <w:sz w:val="24"/>
          <w:szCs w:val="24"/>
        </w:rPr>
        <w:t>The rate increases are a special adjustment for the final months of 2022 in response to recent gasoline price increases. While fuel costs are a significant factor in the mileage figure, other items enter into the calculation of mileage rates, such as depreciation and insurance, and other fixed and variable costs. Midyear increases in the optional mileage rates are rare. The last time the IRS made such an increase was in 2011.</w:t>
      </w:r>
    </w:p>
    <w:p w14:paraId="10C8D465" w14:textId="77777777" w:rsidR="00402AAF" w:rsidRPr="00EE0D31" w:rsidRDefault="00402AAF" w:rsidP="00402AAF">
      <w:pPr>
        <w:rPr>
          <w:rFonts w:cstheme="minorHAnsi"/>
          <w:sz w:val="24"/>
          <w:szCs w:val="24"/>
        </w:rPr>
      </w:pPr>
    </w:p>
    <w:sectPr w:rsidR="00402AAF" w:rsidRPr="00EE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396"/>
    <w:multiLevelType w:val="hybridMultilevel"/>
    <w:tmpl w:val="6D6C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883B99"/>
    <w:multiLevelType w:val="hybridMultilevel"/>
    <w:tmpl w:val="3948F306"/>
    <w:lvl w:ilvl="0" w:tplc="CF4645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AF"/>
    <w:rsid w:val="00025253"/>
    <w:rsid w:val="0004683B"/>
    <w:rsid w:val="00402AAF"/>
    <w:rsid w:val="006816A2"/>
    <w:rsid w:val="00753E0C"/>
    <w:rsid w:val="007A6551"/>
    <w:rsid w:val="00835478"/>
    <w:rsid w:val="008A050D"/>
    <w:rsid w:val="00AC38DF"/>
    <w:rsid w:val="00D53B62"/>
    <w:rsid w:val="00E7130F"/>
    <w:rsid w:val="00ED7E7D"/>
    <w:rsid w:val="00EE0D31"/>
    <w:rsid w:val="00FE19C3"/>
    <w:rsid w:val="00F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32ED"/>
  <w15:chartTrackingRefBased/>
  <w15:docId w15:val="{4D33A219-A7A9-4944-8D76-B22D5CF0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2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AAF"/>
    <w:rPr>
      <w:rFonts w:ascii="Times New Roman" w:eastAsia="Times New Roman" w:hAnsi="Times New Roman" w:cs="Times New Roman"/>
      <w:b/>
      <w:bCs/>
      <w:kern w:val="36"/>
      <w:sz w:val="48"/>
      <w:szCs w:val="48"/>
    </w:rPr>
  </w:style>
  <w:style w:type="paragraph" w:customStyle="1" w:styleId="shrm-dek">
    <w:name w:val="shrm-dek"/>
    <w:basedOn w:val="Normal"/>
    <w:rsid w:val="00402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fix">
    <w:name w:val="clearfix"/>
    <w:basedOn w:val="DefaultParagraphFont"/>
    <w:rsid w:val="00402AAF"/>
  </w:style>
  <w:style w:type="character" w:styleId="Strong">
    <w:name w:val="Strong"/>
    <w:basedOn w:val="DefaultParagraphFont"/>
    <w:uiPriority w:val="22"/>
    <w:qFormat/>
    <w:rsid w:val="00402AAF"/>
    <w:rPr>
      <w:b/>
      <w:bCs/>
    </w:rPr>
  </w:style>
  <w:style w:type="character" w:customStyle="1" w:styleId="hidden-xs">
    <w:name w:val="hidden-xs"/>
    <w:basedOn w:val="DefaultParagraphFont"/>
    <w:rsid w:val="00402AAF"/>
  </w:style>
  <w:style w:type="paragraph" w:customStyle="1" w:styleId="zwsc-cleaned">
    <w:name w:val="zwsc-cleaned"/>
    <w:basedOn w:val="Normal"/>
    <w:rsid w:val="00402A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2A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2AAF"/>
    <w:pPr>
      <w:ind w:left="720"/>
      <w:contextualSpacing/>
    </w:pPr>
  </w:style>
  <w:style w:type="character" w:styleId="Hyperlink">
    <w:name w:val="Hyperlink"/>
    <w:basedOn w:val="DefaultParagraphFont"/>
    <w:uiPriority w:val="99"/>
    <w:semiHidden/>
    <w:unhideWhenUsed/>
    <w:rsid w:val="00FE19C3"/>
    <w:rPr>
      <w:color w:val="0000FF"/>
      <w:u w:val="single"/>
    </w:rPr>
  </w:style>
  <w:style w:type="paragraph" w:customStyle="1" w:styleId="shrm-element-p">
    <w:name w:val="shrm-element-p"/>
    <w:basedOn w:val="Normal"/>
    <w:rsid w:val="00FE19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9C3"/>
    <w:rPr>
      <w:i/>
      <w:iCs/>
    </w:rPr>
  </w:style>
  <w:style w:type="paragraph" w:customStyle="1" w:styleId="shrm-element-subtitle">
    <w:name w:val="shrm-element-subtitle"/>
    <w:basedOn w:val="Normal"/>
    <w:rsid w:val="00FE1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titlemetacontainer">
    <w:name w:val="et_pb_title_meta_container"/>
    <w:basedOn w:val="Normal"/>
    <w:rsid w:val="00FF4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FF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1424">
      <w:bodyDiv w:val="1"/>
      <w:marLeft w:val="0"/>
      <w:marRight w:val="0"/>
      <w:marTop w:val="0"/>
      <w:marBottom w:val="0"/>
      <w:divBdr>
        <w:top w:val="none" w:sz="0" w:space="0" w:color="auto"/>
        <w:left w:val="none" w:sz="0" w:space="0" w:color="auto"/>
        <w:bottom w:val="none" w:sz="0" w:space="0" w:color="auto"/>
        <w:right w:val="none" w:sz="0" w:space="0" w:color="auto"/>
      </w:divBdr>
      <w:divsChild>
        <w:div w:id="1749764084">
          <w:marLeft w:val="0"/>
          <w:marRight w:val="0"/>
          <w:marTop w:val="0"/>
          <w:marBottom w:val="0"/>
          <w:divBdr>
            <w:top w:val="none" w:sz="0" w:space="0" w:color="auto"/>
            <w:left w:val="none" w:sz="0" w:space="0" w:color="auto"/>
            <w:bottom w:val="none" w:sz="0" w:space="0" w:color="auto"/>
            <w:right w:val="none" w:sz="0" w:space="0" w:color="auto"/>
          </w:divBdr>
        </w:div>
        <w:div w:id="492061946">
          <w:marLeft w:val="0"/>
          <w:marRight w:val="0"/>
          <w:marTop w:val="0"/>
          <w:marBottom w:val="225"/>
          <w:divBdr>
            <w:top w:val="none" w:sz="0" w:space="0" w:color="auto"/>
            <w:left w:val="none" w:sz="0" w:space="0" w:color="auto"/>
            <w:bottom w:val="single" w:sz="6" w:space="4" w:color="E1E1E1"/>
            <w:right w:val="none" w:sz="0" w:space="0" w:color="auto"/>
          </w:divBdr>
          <w:divsChild>
            <w:div w:id="1847288143">
              <w:marLeft w:val="0"/>
              <w:marRight w:val="0"/>
              <w:marTop w:val="0"/>
              <w:marBottom w:val="0"/>
              <w:divBdr>
                <w:top w:val="none" w:sz="0" w:space="0" w:color="auto"/>
                <w:left w:val="none" w:sz="0" w:space="0" w:color="auto"/>
                <w:bottom w:val="none" w:sz="0" w:space="0" w:color="auto"/>
                <w:right w:val="none" w:sz="0" w:space="0" w:color="auto"/>
              </w:divBdr>
            </w:div>
            <w:div w:id="1119567950">
              <w:marLeft w:val="0"/>
              <w:marRight w:val="0"/>
              <w:marTop w:val="0"/>
              <w:marBottom w:val="0"/>
              <w:divBdr>
                <w:top w:val="none" w:sz="0" w:space="0" w:color="auto"/>
                <w:left w:val="none" w:sz="0" w:space="0" w:color="auto"/>
                <w:bottom w:val="none" w:sz="0" w:space="0" w:color="auto"/>
                <w:right w:val="none" w:sz="0" w:space="0" w:color="auto"/>
              </w:divBdr>
            </w:div>
          </w:divsChild>
        </w:div>
        <w:div w:id="1990358055">
          <w:marLeft w:val="0"/>
          <w:marRight w:val="0"/>
          <w:marTop w:val="0"/>
          <w:marBottom w:val="750"/>
          <w:divBdr>
            <w:top w:val="none" w:sz="0" w:space="0" w:color="auto"/>
            <w:left w:val="none" w:sz="0" w:space="0" w:color="auto"/>
            <w:bottom w:val="none" w:sz="0" w:space="0" w:color="auto"/>
            <w:right w:val="none" w:sz="0" w:space="0" w:color="auto"/>
          </w:divBdr>
          <w:divsChild>
            <w:div w:id="14283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5209">
      <w:bodyDiv w:val="1"/>
      <w:marLeft w:val="0"/>
      <w:marRight w:val="0"/>
      <w:marTop w:val="0"/>
      <w:marBottom w:val="0"/>
      <w:divBdr>
        <w:top w:val="none" w:sz="0" w:space="0" w:color="auto"/>
        <w:left w:val="none" w:sz="0" w:space="0" w:color="auto"/>
        <w:bottom w:val="none" w:sz="0" w:space="0" w:color="auto"/>
        <w:right w:val="none" w:sz="0" w:space="0" w:color="auto"/>
      </w:divBdr>
      <w:divsChild>
        <w:div w:id="1334719719">
          <w:marLeft w:val="0"/>
          <w:marRight w:val="0"/>
          <w:marTop w:val="0"/>
          <w:marBottom w:val="0"/>
          <w:divBdr>
            <w:top w:val="none" w:sz="0" w:space="0" w:color="auto"/>
            <w:left w:val="none" w:sz="0" w:space="0" w:color="auto"/>
            <w:bottom w:val="none" w:sz="0" w:space="0" w:color="auto"/>
            <w:right w:val="none" w:sz="0" w:space="0" w:color="auto"/>
          </w:divBdr>
        </w:div>
        <w:div w:id="459307696">
          <w:marLeft w:val="0"/>
          <w:marRight w:val="0"/>
          <w:marTop w:val="0"/>
          <w:marBottom w:val="0"/>
          <w:divBdr>
            <w:top w:val="none" w:sz="0" w:space="0" w:color="auto"/>
            <w:left w:val="none" w:sz="0" w:space="0" w:color="auto"/>
            <w:bottom w:val="none" w:sz="0" w:space="0" w:color="auto"/>
            <w:right w:val="none" w:sz="0" w:space="0" w:color="auto"/>
          </w:divBdr>
        </w:div>
        <w:div w:id="1458988677">
          <w:marLeft w:val="0"/>
          <w:marRight w:val="0"/>
          <w:marTop w:val="0"/>
          <w:marBottom w:val="445"/>
          <w:divBdr>
            <w:top w:val="none" w:sz="0" w:space="0" w:color="auto"/>
            <w:left w:val="none" w:sz="0" w:space="0" w:color="auto"/>
            <w:bottom w:val="none" w:sz="0" w:space="0" w:color="auto"/>
            <w:right w:val="none" w:sz="0" w:space="0" w:color="auto"/>
          </w:divBdr>
        </w:div>
      </w:divsChild>
    </w:div>
    <w:div w:id="1250575441">
      <w:bodyDiv w:val="1"/>
      <w:marLeft w:val="0"/>
      <w:marRight w:val="0"/>
      <w:marTop w:val="0"/>
      <w:marBottom w:val="0"/>
      <w:divBdr>
        <w:top w:val="none" w:sz="0" w:space="0" w:color="auto"/>
        <w:left w:val="none" w:sz="0" w:space="0" w:color="auto"/>
        <w:bottom w:val="none" w:sz="0" w:space="0" w:color="auto"/>
        <w:right w:val="none" w:sz="0" w:space="0" w:color="auto"/>
      </w:divBdr>
    </w:div>
    <w:div w:id="1476221235">
      <w:bodyDiv w:val="1"/>
      <w:marLeft w:val="0"/>
      <w:marRight w:val="0"/>
      <w:marTop w:val="0"/>
      <w:marBottom w:val="0"/>
      <w:divBdr>
        <w:top w:val="none" w:sz="0" w:space="0" w:color="auto"/>
        <w:left w:val="none" w:sz="0" w:space="0" w:color="auto"/>
        <w:bottom w:val="none" w:sz="0" w:space="0" w:color="auto"/>
        <w:right w:val="none" w:sz="0" w:space="0" w:color="auto"/>
      </w:divBdr>
      <w:divsChild>
        <w:div w:id="738485037">
          <w:marLeft w:val="0"/>
          <w:marRight w:val="0"/>
          <w:marTop w:val="0"/>
          <w:marBottom w:val="0"/>
          <w:divBdr>
            <w:top w:val="none" w:sz="0" w:space="0" w:color="auto"/>
            <w:left w:val="none" w:sz="0" w:space="0" w:color="auto"/>
            <w:bottom w:val="none" w:sz="0" w:space="0" w:color="auto"/>
            <w:right w:val="none" w:sz="0" w:space="0" w:color="auto"/>
          </w:divBdr>
        </w:div>
        <w:div w:id="2021544923">
          <w:marLeft w:val="0"/>
          <w:marRight w:val="0"/>
          <w:marTop w:val="0"/>
          <w:marBottom w:val="225"/>
          <w:divBdr>
            <w:top w:val="none" w:sz="0" w:space="0" w:color="auto"/>
            <w:left w:val="none" w:sz="0" w:space="0" w:color="auto"/>
            <w:bottom w:val="single" w:sz="6" w:space="4" w:color="E1E1E1"/>
            <w:right w:val="none" w:sz="0" w:space="0" w:color="auto"/>
          </w:divBdr>
          <w:divsChild>
            <w:div w:id="1381172911">
              <w:marLeft w:val="0"/>
              <w:marRight w:val="0"/>
              <w:marTop w:val="0"/>
              <w:marBottom w:val="0"/>
              <w:divBdr>
                <w:top w:val="none" w:sz="0" w:space="0" w:color="auto"/>
                <w:left w:val="none" w:sz="0" w:space="0" w:color="auto"/>
                <w:bottom w:val="none" w:sz="0" w:space="0" w:color="auto"/>
                <w:right w:val="none" w:sz="0" w:space="0" w:color="auto"/>
              </w:divBdr>
            </w:div>
            <w:div w:id="25374940">
              <w:marLeft w:val="0"/>
              <w:marRight w:val="0"/>
              <w:marTop w:val="0"/>
              <w:marBottom w:val="0"/>
              <w:divBdr>
                <w:top w:val="none" w:sz="0" w:space="0" w:color="auto"/>
                <w:left w:val="none" w:sz="0" w:space="0" w:color="auto"/>
                <w:bottom w:val="none" w:sz="0" w:space="0" w:color="auto"/>
                <w:right w:val="none" w:sz="0" w:space="0" w:color="auto"/>
              </w:divBdr>
            </w:div>
          </w:divsChild>
        </w:div>
        <w:div w:id="463891155">
          <w:marLeft w:val="0"/>
          <w:marRight w:val="0"/>
          <w:marTop w:val="0"/>
          <w:marBottom w:val="750"/>
          <w:divBdr>
            <w:top w:val="none" w:sz="0" w:space="0" w:color="auto"/>
            <w:left w:val="none" w:sz="0" w:space="0" w:color="auto"/>
            <w:bottom w:val="none" w:sz="0" w:space="0" w:color="auto"/>
            <w:right w:val="none" w:sz="0" w:space="0" w:color="auto"/>
          </w:divBdr>
          <w:divsChild>
            <w:div w:id="114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legal-and-compliance/employment-law/pages/supreme-court-dobbs.aspx" TargetMode="External"/><Relationship Id="rId3" Type="http://schemas.openxmlformats.org/officeDocument/2006/relationships/settings" Target="settings.xml"/><Relationship Id="rId7" Type="http://schemas.openxmlformats.org/officeDocument/2006/relationships/hyperlink" Target="https://www.nytimes.com/2021/05/17/us/supreme-court-abor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topic/mississippi" TargetMode="External"/><Relationship Id="rId5" Type="http://schemas.openxmlformats.org/officeDocument/2006/relationships/hyperlink" Target="https://www.vdh.virginia.gov/content/uploads/sites/182/2022/04/I-and-Q-guidance_final_508c-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dc:creator>
  <cp:keywords/>
  <dc:description/>
  <cp:lastModifiedBy>Anderson, Lauren M</cp:lastModifiedBy>
  <cp:revision>2</cp:revision>
  <cp:lastPrinted>2022-07-14T14:32:00Z</cp:lastPrinted>
  <dcterms:created xsi:type="dcterms:W3CDTF">2022-08-02T18:16:00Z</dcterms:created>
  <dcterms:modified xsi:type="dcterms:W3CDTF">2022-08-02T18:16:00Z</dcterms:modified>
</cp:coreProperties>
</file>